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3.xml" ContentType="application/vnd.openxmlformats-officedocument.customXmlProperties+xml"/>
  <Override PartName="/customXml/_rels/item3.xml.rels" ContentType="application/vnd.openxmlformats-package.relationship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media/image1.wmf" ContentType="image/x-wmf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675640" cy="718820"/>
            <wp:effectExtent l="0" t="0" r="0" b="0"/>
            <wp:docPr id="1" name="Figura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36" t="-218" r="-236" b="-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000000"/>
          <w:sz w:val="24"/>
          <w:szCs w:val="24"/>
        </w:rPr>
      </w:pPr>
      <w:r>
        <w:rPr>
          <w:rFonts w:cs="Arial" w:ascii="Calibri" w:hAnsi="Calibri"/>
          <w:b/>
          <w:bCs/>
          <w:iCs/>
          <w:color w:val="000000"/>
          <w:sz w:val="24"/>
          <w:szCs w:val="24"/>
        </w:rPr>
      </w:r>
    </w:p>
    <w:p>
      <w:pPr>
        <w:pStyle w:val="Ttulo11"/>
        <w:rPr>
          <w:rFonts w:ascii="Calibri" w:hAnsi="Calibri" w:cs="Times New Roman"/>
          <w:b/>
          <w:b/>
          <w:sz w:val="24"/>
          <w:szCs w:val="24"/>
        </w:rPr>
      </w:pPr>
      <w:r>
        <w:rPr>
          <w:rFonts w:cs="Times New Roman" w:ascii="Calibri" w:hAnsi="Calibri"/>
          <w:b/>
          <w:sz w:val="24"/>
          <w:szCs w:val="24"/>
        </w:rPr>
        <w:t>MARINHA DO BRASIL</w:t>
      </w:r>
    </w:p>
    <w:p>
      <w:pPr>
        <w:pStyle w:val="Normal"/>
        <w:jc w:val="center"/>
        <w:rPr>
          <w:rFonts w:ascii="Calibri" w:hAnsi="Calibri" w:cs="Times New Roman"/>
          <w:b/>
          <w:b/>
          <w:sz w:val="24"/>
          <w:szCs w:val="24"/>
        </w:rPr>
      </w:pPr>
      <w:r>
        <w:rPr>
          <w:rFonts w:cs="Times New Roman" w:ascii="Calibri" w:hAnsi="Calibri"/>
          <w:b/>
          <w:sz w:val="24"/>
          <w:szCs w:val="24"/>
        </w:rPr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000000"/>
          <w:sz w:val="24"/>
          <w:szCs w:val="24"/>
        </w:rPr>
      </w:pPr>
      <w:r>
        <w:rPr>
          <w:rFonts w:cs="Arial" w:ascii="Calibri" w:hAnsi="Calibri"/>
          <w:b/>
          <w:bCs/>
          <w:iCs/>
          <w:color w:val="000000"/>
          <w:sz w:val="24"/>
          <w:szCs w:val="24"/>
        </w:rPr>
        <w:t>BASE NAVAL DA ILHA DAS COBRAS</w:t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000000"/>
          <w:sz w:val="24"/>
          <w:szCs w:val="24"/>
        </w:rPr>
      </w:pPr>
      <w:r>
        <w:rPr>
          <w:rFonts w:cs="Arial" w:ascii="Calibri" w:hAnsi="Calibri"/>
          <w:b/>
          <w:bCs/>
          <w:iCs/>
          <w:color w:val="000000"/>
          <w:sz w:val="24"/>
          <w:szCs w:val="24"/>
        </w:rPr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color w:val="000000"/>
          <w:sz w:val="24"/>
          <w:szCs w:val="24"/>
        </w:rPr>
      </w:pPr>
      <w:r>
        <w:rPr>
          <w:rFonts w:cs="Arial" w:ascii="Calibri" w:hAnsi="Calibri"/>
          <w:b/>
          <w:bCs/>
          <w:iCs/>
          <w:color w:val="000000"/>
          <w:sz w:val="24"/>
          <w:szCs w:val="24"/>
        </w:rPr>
        <w:t>ATA DE REGISTRO DE PREÇOS</w:t>
      </w:r>
    </w:p>
    <w:p>
      <w:pPr>
        <w:pStyle w:val="Normal"/>
        <w:jc w:val="center"/>
        <w:rPr>
          <w:rFonts w:ascii="Calibri" w:hAnsi="Calibri" w:cs="Arial"/>
          <w:b/>
          <w:b/>
          <w:bCs/>
          <w:iCs/>
          <w:sz w:val="24"/>
          <w:szCs w:val="24"/>
        </w:rPr>
      </w:pPr>
      <w:r>
        <w:rPr>
          <w:rFonts w:cs="Arial" w:ascii="Calibri" w:hAnsi="Calibri"/>
          <w:b/>
          <w:bCs/>
          <w:iCs/>
          <w:sz w:val="24"/>
          <w:szCs w:val="24"/>
        </w:rPr>
        <w:t>(PRESTAÇÃO DE SERVIÇOS)</w:t>
      </w:r>
    </w:p>
    <w:p>
      <w:pPr>
        <w:pStyle w:val="Normal"/>
        <w:widowControl w:val="false"/>
        <w:ind w:left="0" w:right="-30" w:hanging="0"/>
        <w:jc w:val="center"/>
        <w:rPr>
          <w:rFonts w:ascii="Calibri" w:hAnsi="Calibri" w:cs="Arial"/>
          <w:bCs/>
          <w:sz w:val="24"/>
          <w:szCs w:val="24"/>
        </w:rPr>
      </w:pPr>
      <w:r>
        <w:rPr>
          <w:rFonts w:cs="Arial" w:ascii="Calibri" w:hAnsi="Calibri"/>
          <w:b/>
          <w:bCs/>
          <w:iCs/>
          <w:color w:val="000000"/>
          <w:sz w:val="24"/>
          <w:szCs w:val="24"/>
        </w:rPr>
        <w:t>N.º .........</w:t>
      </w:r>
    </w:p>
    <w:p>
      <w:pPr>
        <w:pStyle w:val="Normal"/>
        <w:widowControl w:val="false"/>
        <w:ind w:right="-30" w:hanging="0"/>
        <w:jc w:val="both"/>
        <w:rPr>
          <w:rFonts w:ascii="Calibri" w:hAnsi="Calibri" w:cs="Arial"/>
          <w:sz w:val="24"/>
          <w:szCs w:val="24"/>
        </w:rPr>
      </w:pPr>
      <w:r>
        <w:rPr>
          <w:rFonts w:cs="Arial" w:ascii="Calibri" w:hAnsi="Calibri"/>
          <w:sz w:val="24"/>
          <w:szCs w:val="24"/>
        </w:rPr>
      </w:r>
    </w:p>
    <w:p>
      <w:pPr>
        <w:pStyle w:val="Normal"/>
        <w:widowControl w:val="false"/>
        <w:tabs>
          <w:tab w:val="center" w:pos="4779" w:leader="none"/>
          <w:tab w:val="right" w:pos="9198" w:leader="none"/>
        </w:tabs>
        <w:ind w:right="-28" w:hanging="0"/>
        <w:jc w:val="both"/>
        <w:rPr>
          <w:rFonts w:ascii="Calibri" w:hAnsi="Calibri" w:cs="Arial"/>
          <w:sz w:val="24"/>
          <w:szCs w:val="24"/>
        </w:rPr>
      </w:pPr>
      <w:r>
        <w:rPr>
          <w:rFonts w:cs="Arial" w:ascii="Calibri" w:hAnsi="Calibri"/>
          <w:sz w:val="24"/>
          <w:szCs w:val="24"/>
        </w:rPr>
      </w:r>
    </w:p>
    <w:p>
      <w:pPr>
        <w:pStyle w:val="Normal"/>
        <w:widowControl w:val="false"/>
        <w:tabs>
          <w:tab w:val="center" w:pos="4779" w:leader="none"/>
          <w:tab w:val="right" w:pos="9198" w:leader="none"/>
        </w:tabs>
        <w:ind w:left="0" w:right="-28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 xml:space="preserve">A União, por meio da Base Naval da Ilha das Cobras (BNIC), com sede </w:t>
      </w:r>
      <w:r>
        <w:rPr>
          <w:rFonts w:cs="Times New Roman" w:ascii="Calibri" w:hAnsi="Calibri"/>
          <w:color w:val="auto"/>
          <w:sz w:val="24"/>
          <w:szCs w:val="24"/>
        </w:rPr>
        <w:t>na Praça Barão de Ladário, S/N, Edifício 17A, Ilha das Cobras, Centro, na cidade do Rio de Janeiro - RJ</w:t>
      </w:r>
      <w:r>
        <w:rPr>
          <w:rFonts w:cs="Arial" w:ascii="Calibri" w:hAnsi="Calibri"/>
          <w:sz w:val="24"/>
          <w:szCs w:val="24"/>
        </w:rPr>
        <w:t xml:space="preserve">, inscrito(a) no CNPJ sob o nº </w:t>
      </w:r>
      <w:r>
        <w:rPr>
          <w:rFonts w:cs="Times New Roman" w:ascii="Calibri" w:hAnsi="Calibri"/>
          <w:color w:val="auto"/>
          <w:sz w:val="24"/>
          <w:szCs w:val="24"/>
        </w:rPr>
        <w:t>00.394.502/0555-50</w:t>
      </w:r>
      <w:r>
        <w:rPr>
          <w:rFonts w:cs="Arial" w:ascii="Calibri" w:hAnsi="Calibri"/>
          <w:sz w:val="24"/>
          <w:szCs w:val="24"/>
        </w:rPr>
        <w:t xml:space="preserve">, neste ato representada pelo </w:t>
      </w:r>
      <w:r>
        <w:rPr>
          <w:rFonts w:cs="Times New Roman" w:ascii="Calibri" w:hAnsi="Calibri"/>
          <w:color w:val="auto"/>
          <w:sz w:val="24"/>
          <w:szCs w:val="24"/>
        </w:rPr>
        <w:t>Capitão de Mar e Guerra NELSON DE OLIVEIRA LEITE, nomeado pela Portaria n° 204/DGMM, de 23 de outubro de 2020</w:t>
      </w:r>
      <w:r>
        <w:rPr>
          <w:rFonts w:cs="Arial" w:ascii="Calibri" w:hAnsi="Calibri"/>
          <w:sz w:val="24"/>
          <w:szCs w:val="24"/>
        </w:rPr>
        <w:t xml:space="preserve">, publicada </w:t>
      </w:r>
      <w:r>
        <w:rPr>
          <w:rFonts w:cs="Arial" w:ascii="Calibri" w:hAnsi="Calibri"/>
          <w:color w:val="CE181E"/>
          <w:sz w:val="24"/>
          <w:szCs w:val="24"/>
        </w:rPr>
        <w:t xml:space="preserve">no ....... de ..... de ....... de ....., </w:t>
      </w:r>
      <w:r>
        <w:rPr>
          <w:rFonts w:cs="Times New Roman" w:ascii="Calibri" w:hAnsi="Calibri"/>
          <w:color w:val="auto"/>
          <w:sz w:val="24"/>
          <w:szCs w:val="24"/>
        </w:rPr>
        <w:t xml:space="preserve">inscrito no CPF nº </w:t>
      </w:r>
      <w:r>
        <w:rPr>
          <w:rFonts w:cs="Times New Roman" w:ascii="Calibri" w:hAnsi="Calibri"/>
          <w:color w:val="CE181E"/>
          <w:sz w:val="24"/>
          <w:szCs w:val="24"/>
        </w:rPr>
        <w:t>………………….....</w:t>
      </w:r>
      <w:r>
        <w:rPr>
          <w:rFonts w:cs="Times New Roman" w:ascii="Calibri" w:hAnsi="Calibri"/>
          <w:color w:val="auto"/>
          <w:sz w:val="24"/>
          <w:szCs w:val="24"/>
        </w:rPr>
        <w:t xml:space="preserve">, portador do NIP nº </w:t>
      </w:r>
      <w:r>
        <w:rPr>
          <w:rFonts w:cs="Times New Roman" w:ascii="Calibri" w:hAnsi="Calibri"/>
          <w:color w:val="CE181E"/>
          <w:sz w:val="24"/>
          <w:szCs w:val="24"/>
        </w:rPr>
        <w:t>...................</w:t>
      </w:r>
      <w:r>
        <w:rPr>
          <w:rFonts w:cs="Times New Roman" w:ascii="Calibri" w:hAnsi="Calibri"/>
          <w:color w:val="auto"/>
          <w:sz w:val="24"/>
          <w:szCs w:val="24"/>
        </w:rPr>
        <w:t>,</w:t>
      </w:r>
      <w:r>
        <w:rPr>
          <w:rFonts w:cs="Arial" w:ascii="Calibri" w:hAnsi="Calibri"/>
          <w:color w:val="CE181E"/>
          <w:sz w:val="24"/>
          <w:szCs w:val="24"/>
        </w:rPr>
        <w:t xml:space="preserve"> </w:t>
      </w:r>
      <w:r>
        <w:rPr>
          <w:rFonts w:cs="Arial" w:ascii="Calibri" w:hAnsi="Calibri"/>
          <w:color w:val="auto"/>
          <w:sz w:val="24"/>
          <w:szCs w:val="24"/>
        </w:rPr>
        <w:t xml:space="preserve">considerando o julgamento da licitação na modalidade de pregão, na forma </w:t>
      </w:r>
      <w:r>
        <w:rPr>
          <w:rFonts w:cs="Arial" w:ascii="Calibri" w:hAnsi="Calibri"/>
          <w:iCs/>
          <w:color w:val="auto"/>
          <w:sz w:val="24"/>
          <w:szCs w:val="24"/>
        </w:rPr>
        <w:t>eletrônica</w:t>
      </w:r>
      <w:r>
        <w:rPr>
          <w:rFonts w:cs="Arial" w:ascii="Calibri" w:hAnsi="Calibri"/>
          <w:color w:val="auto"/>
          <w:sz w:val="24"/>
          <w:szCs w:val="24"/>
        </w:rPr>
        <w:t>, para REGISTRO DE PREÇOS nº ......./20..., publicada no ...... de ...../...../20....., processo administrativo nº 63031.000</w:t>
      </w:r>
      <w:r>
        <w:rPr>
          <w:rFonts w:cs="Arial" w:ascii="Calibri" w:hAnsi="Calibri"/>
          <w:color w:val="auto"/>
          <w:sz w:val="24"/>
          <w:szCs w:val="24"/>
        </w:rPr>
        <w:t>585</w:t>
      </w:r>
      <w:r>
        <w:rPr>
          <w:rFonts w:cs="Arial" w:ascii="Calibri" w:hAnsi="Calibri"/>
          <w:color w:val="auto"/>
          <w:sz w:val="24"/>
          <w:szCs w:val="24"/>
        </w:rPr>
        <w:t>/2021-</w:t>
      </w:r>
      <w:r>
        <w:rPr>
          <w:rFonts w:cs="Arial" w:ascii="Calibri" w:hAnsi="Calibri"/>
          <w:color w:val="auto"/>
          <w:sz w:val="24"/>
          <w:szCs w:val="24"/>
        </w:rPr>
        <w:t>53</w:t>
      </w:r>
      <w:r>
        <w:rPr>
          <w:rFonts w:cs="Arial" w:ascii="Calibri" w:hAnsi="Calibri"/>
          <w:color w:val="auto"/>
          <w:sz w:val="24"/>
          <w:szCs w:val="24"/>
        </w:rPr>
        <w:t xml:space="preserve">, RESOLVE registrar os preços da  empresa indicada e qualificada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>
        <w:rPr>
          <w:rFonts w:cs="Arial" w:ascii="Calibri" w:hAnsi="Calibri"/>
          <w:iCs/>
          <w:color w:val="auto"/>
          <w:sz w:val="24"/>
          <w:szCs w:val="24"/>
        </w:rPr>
        <w:t>Decreto nº 7.892, de 23 de janeiro de 2013,</w:t>
      </w:r>
      <w:r>
        <w:rPr>
          <w:rFonts w:cs="Arial" w:ascii="Calibri" w:hAnsi="Calibri"/>
          <w:color w:val="auto"/>
          <w:sz w:val="24"/>
          <w:szCs w:val="24"/>
        </w:rPr>
        <w:t xml:space="preserve"> e em conformidade com as disposições a seguir:</w:t>
      </w:r>
    </w:p>
    <w:p>
      <w:pPr>
        <w:pStyle w:val="Normal"/>
        <w:widowControl w:val="false"/>
        <w:tabs>
          <w:tab w:val="center" w:pos="4779" w:leader="none"/>
          <w:tab w:val="right" w:pos="9198" w:leader="none"/>
        </w:tabs>
        <w:ind w:right="-28" w:hanging="0"/>
        <w:jc w:val="both"/>
        <w:rPr>
          <w:rFonts w:ascii="Calibri" w:hAnsi="Calibri" w:cs="Arial"/>
          <w:sz w:val="24"/>
          <w:szCs w:val="24"/>
        </w:rPr>
      </w:pPr>
      <w:r>
        <w:rPr>
          <w:rFonts w:cs="Arial" w:ascii="Calibri" w:hAnsi="Calibri"/>
          <w:sz w:val="24"/>
          <w:szCs w:val="24"/>
        </w:rPr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DO OBJETO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 xml:space="preserve">A presente Ata tem por objeto o registro de preços para a eventual prestação de </w:t>
      </w:r>
      <w:r>
        <w:rPr>
          <w:rFonts w:cs="Calibri" w:ascii="Calibri" w:hAnsi="Calibri"/>
          <w:i w:val="false"/>
          <w:iCs w:val="false"/>
          <w:color w:val="000000"/>
          <w:sz w:val="24"/>
          <w:szCs w:val="24"/>
          <w:lang w:eastAsia="ar-SA"/>
        </w:rPr>
        <w:t xml:space="preserve">serviço de </w:t>
      </w:r>
      <w:r>
        <w:rPr>
          <w:rFonts w:cs="Calibri" w:ascii="Calibri" w:hAnsi="Calibri"/>
          <w:i w:val="false"/>
          <w:iCs w:val="false"/>
          <w:color w:val="000000"/>
          <w:sz w:val="24"/>
          <w:szCs w:val="24"/>
          <w:lang w:eastAsia="ar-SA"/>
        </w:rPr>
        <w:t xml:space="preserve">seguro </w:t>
      </w:r>
      <w:r>
        <w:rPr>
          <w:rFonts w:cs="Calibri" w:ascii="Calibri" w:hAnsi="Calibri"/>
          <w:i w:val="false"/>
          <w:iCs w:val="false"/>
          <w:color w:val="000000"/>
          <w:sz w:val="24"/>
          <w:szCs w:val="24"/>
          <w:lang w:eastAsia="ar-SA"/>
        </w:rPr>
        <w:t xml:space="preserve">veicular para as 78 viaturas </w:t>
      </w:r>
      <w:r>
        <w:rPr>
          <w:rFonts w:cs="Calibri" w:ascii="Calibri" w:hAnsi="Calibri"/>
          <w:i w:val="false"/>
          <w:iCs w:val="false"/>
          <w:color w:val="000000"/>
          <w:sz w:val="24"/>
          <w:szCs w:val="24"/>
          <w:lang w:eastAsia="ar-SA"/>
        </w:rPr>
        <w:t>pertencentes à Base Naval da Ilha das Cobras (BNIC) e suas Organizações Militares apoiadas (OMAp), contemplando cobertura anual contra perda, dano, colisão, furto, roubo, incêndio, terceiros e assistência 24 horas</w:t>
      </w:r>
      <w:r>
        <w:rPr>
          <w:rFonts w:cs="Arial" w:ascii="Calibri" w:hAnsi="Calibri"/>
          <w:sz w:val="24"/>
          <w:szCs w:val="24"/>
        </w:rPr>
        <w:t xml:space="preserve">, especificado no item </w:t>
      </w:r>
      <w:r>
        <w:rPr>
          <w:rFonts w:cs="Arial" w:ascii="Calibri" w:hAnsi="Calibri"/>
          <w:sz w:val="24"/>
          <w:szCs w:val="24"/>
        </w:rPr>
        <w:t xml:space="preserve">1.1 </w:t>
      </w:r>
      <w:r>
        <w:rPr>
          <w:rFonts w:cs="Arial" w:ascii="Calibri" w:hAnsi="Calibri"/>
          <w:sz w:val="24"/>
          <w:szCs w:val="24"/>
        </w:rPr>
        <w:t xml:space="preserve">do Termo de Referência, anexo </w:t>
      </w:r>
      <w:r>
        <w:rPr>
          <w:rFonts w:cs="Arial" w:ascii="Calibri" w:hAnsi="Calibri"/>
          <w:sz w:val="24"/>
          <w:szCs w:val="24"/>
        </w:rPr>
        <w:t>I</w:t>
      </w:r>
      <w:r>
        <w:rPr>
          <w:rFonts w:cs="Arial" w:ascii="Calibri" w:hAnsi="Calibri"/>
          <w:sz w:val="24"/>
          <w:szCs w:val="24"/>
        </w:rPr>
        <w:t xml:space="preserve"> do edital de </w:t>
      </w:r>
      <w:r>
        <w:rPr>
          <w:rFonts w:cs="Arial" w:ascii="Calibri" w:hAnsi="Calibri"/>
          <w:i w:val="false"/>
          <w:iCs w:val="false"/>
          <w:sz w:val="24"/>
          <w:szCs w:val="24"/>
        </w:rPr>
        <w:t xml:space="preserve">Pregão nº </w:t>
      </w:r>
      <w:r>
        <w:rPr>
          <w:rFonts w:cs="Arial" w:ascii="Calibri" w:hAnsi="Calibri"/>
          <w:i w:val="false"/>
          <w:iCs w:val="false"/>
          <w:sz w:val="24"/>
          <w:szCs w:val="24"/>
        </w:rPr>
        <w:t>06</w:t>
      </w:r>
      <w:r>
        <w:rPr>
          <w:rFonts w:cs="Arial" w:ascii="Calibri" w:hAnsi="Calibri"/>
          <w:sz w:val="24"/>
          <w:szCs w:val="24"/>
        </w:rPr>
        <w:t>/20</w:t>
      </w:r>
      <w:r>
        <w:rPr>
          <w:rFonts w:cs="Arial" w:ascii="Calibri" w:hAnsi="Calibri"/>
          <w:sz w:val="24"/>
          <w:szCs w:val="24"/>
        </w:rPr>
        <w:t>21</w:t>
      </w:r>
      <w:r>
        <w:rPr>
          <w:rFonts w:cs="Arial" w:ascii="Calibri" w:hAnsi="Calibri"/>
          <w:sz w:val="24"/>
          <w:szCs w:val="24"/>
        </w:rPr>
        <w:t>, que é parte integrante desta Ata, assim como a proposta vencedora, independentemente de transcrição.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DOS PREÇOS, ESPECIFICAÇÕES E QUANTITATIVOS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 xml:space="preserve">O preço registrado, as especificações do objeto e as demais condições ofertadas na(s) proposta(s) são as que seguem: </w:t>
      </w:r>
    </w:p>
    <w:p>
      <w:pPr>
        <w:pStyle w:val="Normal"/>
        <w:widowControl w:val="false"/>
        <w:tabs>
          <w:tab w:val="left" w:pos="2850" w:leader="none"/>
        </w:tabs>
        <w:ind w:left="792" w:hanging="0"/>
        <w:jc w:val="both"/>
        <w:rPr>
          <w:rFonts w:cs="Arial"/>
          <w:sz w:val="22"/>
          <w:szCs w:val="22"/>
        </w:rPr>
      </w:pPr>
      <w:r>
        <w:rPr>
          <w:rFonts w:cs="Arial" w:ascii="Calibri" w:hAnsi="Calibri"/>
          <w:sz w:val="24"/>
          <w:szCs w:val="24"/>
        </w:rPr>
        <w:tab/>
      </w:r>
    </w:p>
    <w:tbl>
      <w:tblPr>
        <w:tblW w:w="8111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98"/>
        <w:gridCol w:w="1177"/>
        <w:gridCol w:w="810"/>
        <w:gridCol w:w="1185"/>
        <w:gridCol w:w="1365"/>
        <w:gridCol w:w="855"/>
        <w:gridCol w:w="1290"/>
        <w:gridCol w:w="1031"/>
      </w:tblGrid>
      <w:tr>
        <w:trPr/>
        <w:tc>
          <w:tcPr>
            <w:tcW w:w="81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cs="Times New Roman"/>
                <w:bCs/>
                <w:i/>
                <w:i/>
                <w:color w:val="FF0000"/>
                <w:szCs w:val="20"/>
              </w:rPr>
            </w:pPr>
            <w:r>
              <w:rPr>
                <w:rFonts w:cs="Times New Roman" w:ascii="Calibri" w:hAnsi="Calibri"/>
                <w:bCs/>
                <w:sz w:val="24"/>
                <w:szCs w:val="24"/>
              </w:rPr>
              <w:t xml:space="preserve">Prestador do serviço </w:t>
            </w:r>
            <w:r>
              <w:rPr>
                <w:rFonts w:cs="Times New Roman" w:ascii="Calibri" w:hAnsi="Calibri"/>
                <w:bCs/>
                <w:i/>
                <w:color w:val="FF0000"/>
                <w:sz w:val="24"/>
                <w:szCs w:val="24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bCs/>
                <w:sz w:val="24"/>
                <w:szCs w:val="24"/>
              </w:rPr>
            </w:pPr>
            <w:r>
              <w:rPr>
                <w:rFonts w:cs="Times New Roman" w:ascii="Calibri" w:hAnsi="Calibri"/>
                <w:bCs/>
                <w:sz w:val="24"/>
                <w:szCs w:val="24"/>
              </w:rPr>
            </w:r>
          </w:p>
        </w:tc>
      </w:tr>
      <w:tr>
        <w:trPr/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cs="Times New Roman"/>
                <w:bCs/>
                <w:color w:val="000000"/>
                <w:szCs w:val="20"/>
              </w:rPr>
            </w:pPr>
            <w:r>
              <w:rPr>
                <w:rFonts w:cs="Times New Roman" w:ascii="Calibri" w:hAnsi="Calibri"/>
                <w:bCs/>
                <w:color w:val="000000"/>
                <w:sz w:val="22"/>
                <w:szCs w:val="22"/>
              </w:rPr>
              <w:t>ITEM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dodatabela"/>
              <w:spacing w:before="0" w:after="20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Times New Roman" w:ascii="Calibri" w:hAnsi="Calibri"/>
                <w:bCs/>
                <w:color w:val="000000"/>
                <w:sz w:val="22"/>
                <w:szCs w:val="22"/>
              </w:rPr>
              <w:t>Marca/modelo da viatura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cs="Times New Roman" w:ascii="Calibri" w:hAnsi="Calibri"/>
                <w:bCs/>
                <w:sz w:val="22"/>
                <w:szCs w:val="22"/>
              </w:rPr>
              <w:t>Placa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Ano de fabricação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cs="Times New Roman" w:ascii="Calibri" w:hAnsi="Calibri"/>
                <w:bCs/>
                <w:sz w:val="22"/>
                <w:szCs w:val="22"/>
              </w:rPr>
              <w:t>Combustível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cs="Times New Roman" w:ascii="Calibri" w:hAnsi="Calibri"/>
                <w:bCs/>
                <w:sz w:val="22"/>
                <w:szCs w:val="22"/>
              </w:rPr>
              <w:t>Chassi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cs="Times New Roman" w:ascii="Calibri" w:hAnsi="Calibri"/>
                <w:bCs/>
                <w:sz w:val="22"/>
                <w:szCs w:val="22"/>
              </w:rPr>
              <w:t>Quantidade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cs="Times New Roman"/>
                <w:bCs/>
                <w:color w:val="000000"/>
                <w:szCs w:val="20"/>
              </w:rPr>
            </w:pPr>
            <w:r>
              <w:rPr>
                <w:rFonts w:cs="Times New Roman" w:ascii="Calibri" w:hAnsi="Calibri"/>
                <w:bCs/>
                <w:sz w:val="22"/>
                <w:szCs w:val="22"/>
              </w:rPr>
              <w:t xml:space="preserve">Valor Unitário </w:t>
            </w:r>
          </w:p>
        </w:tc>
      </w:tr>
      <w:tr>
        <w:trPr/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  <w:t>...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Calibri" w:hAnsi="Calibri"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tabs>
          <w:tab w:val="left" w:pos="2850" w:leader="none"/>
        </w:tabs>
        <w:ind w:left="792" w:hanging="0"/>
        <w:jc w:val="both"/>
        <w:rPr>
          <w:rFonts w:ascii="Calibri" w:hAnsi="Calibri" w:cs="Arial"/>
          <w:sz w:val="24"/>
          <w:szCs w:val="24"/>
        </w:rPr>
      </w:pPr>
      <w:r>
        <w:rPr>
          <w:rFonts w:cs="Arial" w:ascii="Calibri" w:hAnsi="Calibri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57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  <w:lang w:eastAsia="en-US"/>
        </w:rPr>
        <w:t>A listagem do cadastro de reserva referente ao presente registro de preços consta como anexo a esta Ata.</w:t>
      </w:r>
    </w:p>
    <w:p>
      <w:pPr>
        <w:pStyle w:val="Nivel1"/>
        <w:numPr>
          <w:ilvl w:val="0"/>
          <w:numId w:val="1"/>
        </w:numPr>
        <w:rPr>
          <w:rFonts w:ascii="Calibri" w:hAnsi="Calibri"/>
          <w:color w:val="auto"/>
          <w:sz w:val="24"/>
          <w:szCs w:val="24"/>
        </w:rPr>
      </w:pPr>
      <w:r>
        <w:rPr>
          <w:rFonts w:ascii="Calibri" w:hAnsi="Calibri"/>
          <w:color w:val="auto"/>
          <w:sz w:val="24"/>
          <w:szCs w:val="24"/>
        </w:rPr>
        <w:t>ÓRGÃO GERENCIADOR E PARTICIPANTES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794" w:right="0" w:hanging="794"/>
        <w:jc w:val="both"/>
        <w:rPr>
          <w:rFonts w:ascii="Calibri" w:hAnsi="Calibri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 w:ascii="Calibri" w:hAnsi="Calibri"/>
          <w:i w:val="false"/>
          <w:iCs w:val="false"/>
          <w:color w:val="auto"/>
          <w:sz w:val="24"/>
          <w:szCs w:val="24"/>
        </w:rPr>
        <w:t xml:space="preserve">O órgão gerenciador será </w:t>
      </w:r>
      <w:r>
        <w:rPr>
          <w:rFonts w:cs="Times New Roman" w:ascii="Calibri" w:hAnsi="Calibri"/>
          <w:i w:val="false"/>
          <w:iCs w:val="false"/>
          <w:color w:val="auto"/>
          <w:sz w:val="24"/>
          <w:szCs w:val="24"/>
        </w:rPr>
        <w:t xml:space="preserve">a Base Naval da Ilha das Cobras. 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794" w:right="0" w:hanging="794"/>
        <w:jc w:val="both"/>
        <w:rPr>
          <w:rFonts w:ascii="Calibri" w:hAnsi="Calibri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 w:ascii="Calibri" w:hAnsi="Calibri"/>
          <w:i w:val="false"/>
          <w:iCs w:val="false"/>
          <w:color w:val="auto"/>
          <w:sz w:val="24"/>
          <w:szCs w:val="24"/>
        </w:rPr>
        <w:t>N</w:t>
      </w:r>
      <w:r>
        <w:rPr>
          <w:rFonts w:cs="Times New Roman" w:ascii="Calibri" w:hAnsi="Calibri"/>
          <w:i w:val="false"/>
          <w:iCs w:val="false"/>
          <w:color w:val="auto"/>
          <w:sz w:val="24"/>
          <w:szCs w:val="24"/>
        </w:rPr>
        <w:t xml:space="preserve">ão </w:t>
      </w:r>
      <w:r>
        <w:rPr>
          <w:rFonts w:cs="Times New Roman" w:ascii="Calibri" w:hAnsi="Calibri"/>
          <w:i w:val="false"/>
          <w:iCs w:val="false"/>
          <w:color w:val="auto"/>
          <w:sz w:val="24"/>
          <w:szCs w:val="24"/>
        </w:rPr>
        <w:t xml:space="preserve">há </w:t>
      </w:r>
      <w:r>
        <w:rPr>
          <w:rFonts w:cs="Times New Roman" w:ascii="Calibri" w:hAnsi="Calibri"/>
          <w:i w:val="false"/>
          <w:iCs w:val="false"/>
          <w:color w:val="auto"/>
          <w:sz w:val="24"/>
          <w:szCs w:val="24"/>
        </w:rPr>
        <w:t xml:space="preserve">órgãos e entidades públicas participantes do registro de preços. 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  <w:lang w:eastAsia="en-US"/>
        </w:rPr>
        <w:t>DA ADESÃO À ATA DE REGISTRO DE PREÇOS</w:t>
      </w:r>
    </w:p>
    <w:p>
      <w:pPr>
        <w:pStyle w:val="Normal"/>
        <w:widowControl/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i w:val="false"/>
          <w:i w:val="false"/>
          <w:iCs w:val="false"/>
          <w:color w:val="auto"/>
          <w:sz w:val="24"/>
          <w:szCs w:val="24"/>
        </w:rPr>
      </w:pPr>
      <w:r>
        <w:rPr>
          <w:rFonts w:ascii="Calibri" w:hAnsi="Calibri"/>
          <w:i w:val="false"/>
          <w:iCs w:val="false"/>
          <w:color w:val="auto"/>
          <w:sz w:val="24"/>
          <w:szCs w:val="24"/>
          <w:lang w:eastAsia="en-US"/>
        </w:rPr>
        <w:t>4.1. Não será admitida a adesão à ata de registro de preços decorrente desta licitação.</w:t>
      </w:r>
    </w:p>
    <w:p>
      <w:pPr>
        <w:pStyle w:val="Nivel1"/>
        <w:numPr>
          <w:ilvl w:val="0"/>
          <w:numId w:val="1"/>
        </w:numPr>
        <w:rPr>
          <w:iCs/>
        </w:rPr>
      </w:pPr>
      <w:r>
        <w:rPr>
          <w:rFonts w:ascii="Calibri" w:hAnsi="Calibri"/>
          <w:sz w:val="24"/>
          <w:szCs w:val="24"/>
        </w:rPr>
        <w:t xml:space="preserve">VALIDADE DA ATA 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>A validade da Ata de Registro de Preços será de 12 meses, a partir do(a)................................, não podendo ser prorrogada.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REVISÃO E CANCELAMENTO </w:t>
      </w:r>
    </w:p>
    <w:p>
      <w:pPr>
        <w:pStyle w:val="ListParagraph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>A Administração realizará pesquisa de mercado periodicamente, em intervalos não superiores a 180 (cento e oitenta) dias, a fim de verificar a vantajosidade dos preços registrados nesta Ata.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Os preços registrados poderão ser revistos em decorrência de eventual redução dos preços praticados no mercado ou de fato que eleve o custo do objeto registrado, cabendo à Administração promover as negociações junto ao(s) fornecedor(es).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Quando o preço registrado tornar-se superior ao preço praticado no mercado por motivo superveniente, a Administração convocará o(s) fornecedor(es) para negociar(em) a redução dos preços aos valores praticados pelo mercado.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O fornecedor que não aceitar reduzir seu preço ao valor praticado pelo mercado será liberado do compromisso assumido, sem aplicação de penalidade.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i/>
          <w:color w:val="FF0000"/>
          <w:sz w:val="24"/>
          <w:szCs w:val="24"/>
        </w:rPr>
        <w:t>A ordem de classificação dos fornecedores que aceitarem reduzir seus preços aos valores de mercado observará a classificação original.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>Quando o preço de mercado tornar-se superior aos preços registrados e o fornecedor não puder cumprir o compromisso, o órgão gerenciador poderá: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liberar o fornecedor do compromisso assumido, caso a comunicação ocorra antes do pedido de fornecimento, e sem aplicação da penalidade se confirmada a veracidade dos motivos e comprovantes apresentados; e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convocar os demais fornecedores para assegurar igual oportunidade de negociação.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Não havendo êxito nas negociações, o órgão gerenciador deverá proceder à revogação desta ata de registro de preços, adotando as medidas cabíveis para obtenção da contratação mais vantajosa.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O registro do fornecedor será cancelado quando: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descumprir as condições da ata de registro de preços;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não retirar a nota de empenho ou instrumento equivalente no prazo estabelecido pela Administração, sem justificativa aceitável;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não aceitar reduzir o seu preço registrado, na hipótese deste se tornar superior àqueles praticados no mercado; ou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sofrer sanção administrativa cujo efeito torne-o proibido de celebrar contrato administrativo, alcançando o órgão gerenciador e órgão(s) participante(s).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O cancelamento de registros nas hipóteses previstas nos itens 5.6.1, 5.6.2 e 5.6.4 será formalizado por despacho do órgão gerenciador, assegurado o contraditório e a ampla defesa.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O cancelamento do registro de preços poderá ocorrer por fato superveniente, decorrente de caso fortuito ou força maior, que prejudique o cumprimento da ata, devidamente comprovados e justificados: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por razão de interesse público; ou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>a pedido do fornecedor. </w:t>
      </w:r>
    </w:p>
    <w:p>
      <w:pPr>
        <w:pStyle w:val="Nivel1"/>
        <w:numPr>
          <w:ilvl w:val="0"/>
          <w:numId w:val="1"/>
        </w:numPr>
        <w:ind w:left="357" w:hanging="357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DAS PENALIDADES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iCs/>
          <w:sz w:val="24"/>
          <w:szCs w:val="24"/>
        </w:rPr>
        <w:t>O descumprimento da Ata de Registro de Preços ensejará aplicação das penalidades estabelecidas no Edital.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color w:val="000000"/>
          <w:sz w:val="24"/>
          <w:szCs w:val="24"/>
        </w:rPr>
        <w:t xml:space="preserve">As sanções do item acima também se aplicam aos integrantes do cadastro de reserva, em pregão para registro de preços que, convocados, não honrarem o compromisso assumido injustificadamente, nos termos do art. 49, §1º do Decreto nº 10.024/19. 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iCs/>
          <w:szCs w:val="20"/>
        </w:rPr>
      </w:pPr>
      <w:r>
        <w:rPr>
          <w:rFonts w:cs="Arial" w:ascii="Calibri" w:hAnsi="Calibri"/>
          <w:iCs/>
          <w:sz w:val="24"/>
          <w:szCs w:val="24"/>
        </w:rPr>
        <w:t>É da competência do órgão gerenciador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a aplicação da penalidade (art. 6º, Parágrafo único, do Decreto nº 7.892/2013).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iCs/>
          <w:szCs w:val="20"/>
        </w:rPr>
      </w:pPr>
      <w:r>
        <w:rPr>
          <w:rFonts w:cs="Arial" w:ascii="Calibri" w:hAnsi="Calibri"/>
          <w:iCs/>
          <w:sz w:val="24"/>
          <w:szCs w:val="24"/>
        </w:rPr>
        <w:t>O órgão participante deverá comunicar ao órgão gerenciador qualquer das ocorrências previstas no art. 20 do Decreto nº 7.892/2013, dada a necessidade de instauração de procedimento para cancelamento do registro do fornecedor.</w:t>
      </w:r>
    </w:p>
    <w:p>
      <w:pPr>
        <w:pStyle w:val="Nivel1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CONDIÇÕES GERAIS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cs="Arial"/>
          <w:iCs/>
          <w:szCs w:val="20"/>
        </w:rPr>
      </w:pPr>
      <w:r>
        <w:rPr>
          <w:rFonts w:cs="Arial" w:ascii="Calibri" w:hAnsi="Calibri"/>
          <w:iCs/>
          <w:sz w:val="24"/>
          <w:szCs w:val="24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Referência, ANEXO AO EDITAL.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iCs/>
          <w:sz w:val="24"/>
          <w:szCs w:val="24"/>
        </w:rPr>
        <w:t xml:space="preserve">É vedado efetuar acréscimos nos quantitativos fixados nesta ata de registro de preços, inclusive o acréscimo de que trata o § 1º do art. 65 da Lei </w:t>
      </w:r>
      <w:r>
        <w:rPr>
          <w:rFonts w:cs="Arial" w:ascii="Calibri" w:hAnsi="Calibri"/>
          <w:sz w:val="24"/>
          <w:szCs w:val="24"/>
        </w:rPr>
        <w:t>nº 8.666/93, nos termos do art. 12, §1º do Decreto nº 7.892/13.</w:t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i w:val="false"/>
          <w:i w:val="false"/>
          <w:iCs w:val="false"/>
          <w:color w:val="auto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auto"/>
          <w:sz w:val="24"/>
          <w:szCs w:val="24"/>
        </w:rPr>
        <w:t>No caso de adjudicação por preço global de grupo de itens, só será admitida a contratação dos itens nas seguintes hipóteses.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i w:val="false"/>
          <w:i w:val="false"/>
          <w:iCs w:val="false"/>
          <w:color w:val="auto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auto"/>
          <w:sz w:val="24"/>
          <w:szCs w:val="24"/>
        </w:rPr>
        <w:t xml:space="preserve"> </w:t>
      </w:r>
      <w:r>
        <w:rPr>
          <w:rFonts w:cs="Arial" w:ascii="Calibri" w:hAnsi="Calibri"/>
          <w:i w:val="false"/>
          <w:iCs w:val="false"/>
          <w:color w:val="auto"/>
          <w:sz w:val="24"/>
          <w:szCs w:val="24"/>
        </w:rPr>
        <w:t>contratação da totalidade dos itens de grupo, respeitadas as proporções de quantitativos definidos no certame; ou</w:t>
      </w:r>
    </w:p>
    <w:p>
      <w:pPr>
        <w:pStyle w:val="Normal"/>
        <w:widowControl/>
        <w:numPr>
          <w:ilvl w:val="2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auto"/>
          <w:sz w:val="24"/>
          <w:szCs w:val="24"/>
        </w:rPr>
        <w:t>contratação de item isolado para o qual o preço unitário adjudicado ao vencedor seja o menor preço válido ofertado para o mesmo item na fase de lances.</w:t>
      </w:r>
    </w:p>
    <w:p>
      <w:pPr>
        <w:pStyle w:val="Normal"/>
        <w:widowControl/>
        <w:numPr>
          <w:ilvl w:val="1"/>
          <w:numId w:val="1"/>
        </w:numPr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i w:val="false"/>
          <w:i w:val="false"/>
          <w:iCs w:val="false"/>
          <w:color w:val="auto"/>
          <w:sz w:val="24"/>
          <w:szCs w:val="24"/>
        </w:rPr>
      </w:pPr>
      <w:r>
        <w:rPr>
          <w:rFonts w:cs="Arial" w:ascii="Calibri" w:hAnsi="Calibri"/>
          <w:i w:val="false"/>
          <w:iCs w:val="false"/>
          <w:color w:val="auto"/>
          <w:sz w:val="24"/>
          <w:szCs w:val="24"/>
        </w:rPr>
        <w:t>A ata de realização da sessão pública do pregão, contendo a relação dos licitantes que aceitarem cotar os serviços com preços iguais ao do licitante vencedor do certame, será anexada a esta Ata de Registro de Preços, nos termos do art. 11, §4º do Decreto n. 7.892, de 2013.</w:t>
      </w:r>
    </w:p>
    <w:p>
      <w:pPr>
        <w:pStyle w:val="Normal"/>
        <w:widowControl w:val="false"/>
        <w:spacing w:before="240" w:after="0"/>
        <w:ind w:right="-15" w:hanging="0"/>
        <w:jc w:val="both"/>
        <w:rPr>
          <w:rFonts w:ascii="Calibri" w:hAnsi="Calibri" w:cs="Arial"/>
          <w:sz w:val="24"/>
          <w:szCs w:val="24"/>
        </w:rPr>
      </w:pPr>
      <w:r>
        <w:rPr>
          <w:rFonts w:cs="Arial" w:ascii="Calibri" w:hAnsi="Calibri"/>
          <w:sz w:val="24"/>
          <w:szCs w:val="24"/>
        </w:rPr>
      </w:r>
    </w:p>
    <w:p>
      <w:pPr>
        <w:pStyle w:val="Normal"/>
        <w:widowControl w:val="false"/>
        <w:ind w:right="-15" w:hanging="0"/>
        <w:jc w:val="both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>Para firmeza e validade do pactuado, a presente Ata foi lavrada em .... (....) vias de igual teor, que, depois de lida e achada em ordem, vai assinada pelas partes.</w:t>
      </w:r>
    </w:p>
    <w:p>
      <w:pPr>
        <w:pStyle w:val="Normal"/>
        <w:widowControl w:val="false"/>
        <w:ind w:right="-15" w:hanging="0"/>
        <w:jc w:val="both"/>
        <w:rPr>
          <w:rFonts w:ascii="Calibri" w:hAnsi="Calibri" w:cs="Arial"/>
          <w:i/>
          <w:i/>
          <w:iCs/>
          <w:color w:val="FF0000"/>
          <w:sz w:val="24"/>
          <w:szCs w:val="24"/>
        </w:rPr>
      </w:pPr>
      <w:r>
        <w:rPr>
          <w:rFonts w:cs="Arial" w:ascii="Calibri" w:hAnsi="Calibri"/>
          <w:i/>
          <w:iCs/>
          <w:color w:val="FF0000"/>
          <w:sz w:val="24"/>
          <w:szCs w:val="24"/>
        </w:rPr>
      </w:r>
    </w:p>
    <w:p>
      <w:pPr>
        <w:pStyle w:val="Normal"/>
        <w:widowControl w:val="false"/>
        <w:ind w:right="-15" w:hanging="0"/>
        <w:jc w:val="both"/>
        <w:rPr>
          <w:rFonts w:ascii="Calibri" w:hAnsi="Calibri" w:cs="Arial"/>
          <w:i/>
          <w:i/>
          <w:iCs/>
          <w:color w:val="FF0000"/>
          <w:sz w:val="24"/>
          <w:szCs w:val="24"/>
        </w:rPr>
      </w:pPr>
      <w:r>
        <w:rPr>
          <w:rFonts w:cs="Arial" w:ascii="Calibri" w:hAnsi="Calibri"/>
          <w:i/>
          <w:iCs/>
          <w:color w:val="FF0000"/>
          <w:sz w:val="24"/>
          <w:szCs w:val="24"/>
        </w:rPr>
      </w:r>
    </w:p>
    <w:p>
      <w:pPr>
        <w:pStyle w:val="Normal"/>
        <w:widowControl w:val="false"/>
        <w:ind w:right="-15" w:hanging="0"/>
        <w:jc w:val="both"/>
        <w:rPr>
          <w:rFonts w:ascii="Calibri" w:hAnsi="Calibri" w:cs="Arial"/>
          <w:i/>
          <w:i/>
          <w:iCs/>
          <w:sz w:val="24"/>
          <w:szCs w:val="24"/>
        </w:rPr>
      </w:pPr>
      <w:r>
        <w:rPr>
          <w:rFonts w:cs="Arial" w:ascii="Calibri" w:hAnsi="Calibri"/>
          <w:i/>
          <w:iCs/>
          <w:sz w:val="24"/>
          <w:szCs w:val="24"/>
        </w:rPr>
      </w:r>
    </w:p>
    <w:p>
      <w:pPr>
        <w:pStyle w:val="Normal"/>
        <w:widowControl w:val="false"/>
        <w:ind w:right="-30" w:hanging="0"/>
        <w:jc w:val="center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Local e data</w:t>
      </w:r>
    </w:p>
    <w:p>
      <w:pPr>
        <w:pStyle w:val="Normal"/>
        <w:widowControl w:val="false"/>
        <w:ind w:right="-30" w:hanging="0"/>
        <w:jc w:val="center"/>
        <w:rPr>
          <w:rFonts w:cs="Arial"/>
          <w:szCs w:val="20"/>
        </w:rPr>
      </w:pPr>
      <w:r>
        <w:rPr>
          <w:rFonts w:cs="Arial" w:ascii="Calibri" w:hAnsi="Calibri"/>
          <w:sz w:val="24"/>
          <w:szCs w:val="24"/>
        </w:rPr>
        <w:t>Assinaturas</w:t>
      </w:r>
    </w:p>
    <w:p>
      <w:pPr>
        <w:pStyle w:val="Normal"/>
        <w:widowControl w:val="false"/>
        <w:ind w:right="-30" w:hanging="0"/>
        <w:jc w:val="center"/>
        <w:rPr>
          <w:rFonts w:ascii="Calibri" w:hAnsi="Calibri" w:cs="Arial"/>
          <w:sz w:val="24"/>
          <w:szCs w:val="24"/>
        </w:rPr>
      </w:pPr>
      <w:r>
        <w:rPr>
          <w:rFonts w:cs="Arial" w:ascii="Calibri" w:hAnsi="Calibri"/>
          <w:sz w:val="24"/>
          <w:szCs w:val="24"/>
        </w:rPr>
      </w:r>
    </w:p>
    <w:p>
      <w:pPr>
        <w:pStyle w:val="Normal"/>
        <w:widowControl w:val="false"/>
        <w:ind w:right="-30" w:hanging="0"/>
        <w:jc w:val="center"/>
        <w:rPr>
          <w:rFonts w:ascii="Calibri" w:hAnsi="Calibri" w:cs="Arial"/>
          <w:sz w:val="24"/>
          <w:szCs w:val="24"/>
        </w:rPr>
      </w:pPr>
      <w:r>
        <w:rPr>
          <w:rFonts w:cs="Arial" w:ascii="Calibri" w:hAnsi="Calibri"/>
          <w:sz w:val="24"/>
          <w:szCs w:val="24"/>
        </w:rPr>
      </w:r>
    </w:p>
    <w:p>
      <w:pPr>
        <w:pStyle w:val="Normal"/>
        <w:widowControl w:val="false"/>
        <w:ind w:right="-30" w:hanging="0"/>
        <w:jc w:val="center"/>
        <w:rPr>
          <w:rFonts w:cs="Arial"/>
          <w:color w:val="FF00FF"/>
          <w:szCs w:val="20"/>
        </w:rPr>
      </w:pPr>
      <w:r>
        <w:rPr>
          <w:rFonts w:cs="Arial" w:ascii="Calibri" w:hAnsi="Calibri"/>
          <w:sz w:val="24"/>
          <w:szCs w:val="24"/>
        </w:rPr>
        <w:t xml:space="preserve">Representante legal do órgão gerenciador e representante(s) legal(is) do(s) </w:t>
      </w:r>
      <w:r>
        <w:rPr>
          <w:rFonts w:cs="Arial" w:ascii="Calibri" w:hAnsi="Calibri"/>
          <w:color w:val="000000"/>
          <w:sz w:val="24"/>
          <w:szCs w:val="24"/>
        </w:rPr>
        <w:t>fornecedor(es) registrado(s)</w:t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sectPr>
      <w:headerReference w:type="default" r:id="rId3"/>
      <w:headerReference w:type="first" r:id="rId4"/>
      <w:footerReference w:type="default" r:id="rId5"/>
      <w:footerReference w:type="first" r:id="rId6"/>
      <w:type w:val="nextPage"/>
      <w:pgSz w:w="11906" w:h="16838"/>
      <w:pgMar w:left="1701" w:right="1701" w:header="1417" w:top="1993" w:footer="708" w:bottom="1417" w:gutter="0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Ecofont_Spranq_eco_Sans">
    <w:charset w:val="01"/>
    <w:family w:val="roman"/>
    <w:pitch w:val="variable"/>
  </w:font>
  <w:font w:name="Segoe UI">
    <w:charset w:val="01"/>
    <w:family w:val="roman"/>
    <w:pitch w:val="variable"/>
  </w:font>
  <w:font w:name="Calibri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  <w:t>____________________________________________________________________</w:t>
    </w:r>
  </w:p>
  <w:p>
    <w:pPr>
      <w:pStyle w:val="Rodap"/>
      <w:rPr/>
    </w:pPr>
    <w:r>
      <w:rPr>
        <w:sz w:val="12"/>
        <w:szCs w:val="12"/>
      </w:rPr>
      <w:t>Câmara Nacional de Modelos de Licitações e Contratos da Consultoria-Geral da União</w:t>
    </w:r>
  </w:p>
  <w:p>
    <w:pPr>
      <w:pStyle w:val="Rodap"/>
      <w:rPr/>
    </w:pPr>
    <w:r>
      <w:rPr>
        <w:sz w:val="12"/>
        <w:szCs w:val="12"/>
      </w:rPr>
      <w:t>Ata de Registro de Preços – Serviços Continuados Sem Dedicação Exclusiva de Mão-de-Obra</w:t>
    </w:r>
  </w:p>
  <w:p>
    <w:pPr>
      <w:pStyle w:val="Rodap"/>
      <w:rPr/>
    </w:pPr>
    <w:r>
      <w:rPr>
        <w:sz w:val="12"/>
        <w:szCs w:val="12"/>
      </w:rPr>
      <w:t>Atualização: Dezembro/2019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  <w:t>____________________________________________________________________</w:t>
    </w:r>
  </w:p>
  <w:p>
    <w:pPr>
      <w:pStyle w:val="Rodap"/>
      <w:rPr/>
    </w:pPr>
    <w:r>
      <w:rPr>
        <w:sz w:val="12"/>
        <w:szCs w:val="12"/>
      </w:rPr>
      <w:t>Câmara Nacional de Modelos de Licitações e Contratos da Consultoria-Geral da União</w:t>
    </w:r>
  </w:p>
  <w:p>
    <w:pPr>
      <w:pStyle w:val="Rodap"/>
      <w:rPr/>
    </w:pPr>
    <w:r>
      <w:rPr>
        <w:sz w:val="12"/>
        <w:szCs w:val="12"/>
      </w:rPr>
      <w:t>Ata de Registro de Preços – Serviços Continuados Sem Dedicação Exclusiva de Mão-de-Obra</w:t>
    </w:r>
  </w:p>
  <w:p>
    <w:pPr>
      <w:pStyle w:val="Rodap"/>
      <w:rPr/>
    </w:pPr>
    <w:r>
      <w:rPr>
        <w:sz w:val="12"/>
        <w:szCs w:val="12"/>
      </w:rPr>
      <w:t>Atualização: Dezembro/2019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spacing w:lineRule="auto" w:line="276" w:before="0" w:after="120"/>
      <w:jc w:val="left"/>
      <w:rPr>
        <w:rFonts w:ascii="Calibri" w:hAnsi="Calibri" w:cs="Calibri"/>
        <w:b w:val="false"/>
        <w:b w:val="false"/>
        <w:bCs w:val="false"/>
        <w:sz w:val="24"/>
        <w:szCs w:val="24"/>
      </w:rPr>
    </w:pPr>
    <w:r>
      <w:rPr>
        <w:rFonts w:cs="Calibri" w:ascii="Calibri" w:hAnsi="Calibri"/>
        <w:b w:val="false"/>
        <w:bCs w:val="false"/>
        <w:sz w:val="24"/>
        <w:szCs w:val="24"/>
      </w:rPr>
      <w:t xml:space="preserve">(Continuação do </w:t>
    </w:r>
    <w:r>
      <w:rPr>
        <w:rFonts w:cs="Calibri" w:ascii="Calibri" w:hAnsi="Calibri"/>
        <w:b w:val="false"/>
        <w:bCs w:val="false"/>
        <w:sz w:val="24"/>
        <w:szCs w:val="24"/>
      </w:rPr>
      <w:t>Anexo II do Edital do Pregão Eletrônico</w:t>
    </w:r>
    <w:r>
      <w:rPr>
        <w:rFonts w:cs="Calibri" w:ascii="Calibri" w:hAnsi="Calibri"/>
        <w:b w:val="false"/>
        <w:bCs w:val="false"/>
        <w:sz w:val="24"/>
        <w:szCs w:val="24"/>
      </w:rPr>
      <w:t xml:space="preserve"> nº </w:t>
    </w:r>
    <w:r>
      <w:rPr>
        <w:rFonts w:cs="Calibri" w:ascii="Calibri" w:hAnsi="Calibri"/>
        <w:b w:val="false"/>
        <w:bCs w:val="false"/>
        <w:sz w:val="24"/>
        <w:szCs w:val="24"/>
      </w:rPr>
      <w:t>06/2021</w:t>
    </w:r>
    <w:r>
      <w:rPr>
        <w:rFonts w:cs="Calibri" w:ascii="Calibri" w:hAnsi="Calibri"/>
        <w:b w:val="false"/>
        <w:bCs w:val="false"/>
        <w:sz w:val="24"/>
        <w:szCs w:val="24"/>
      </w:rPr>
      <w:t>.………………………….)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right"/>
      <w:rPr>
        <w:rFonts w:ascii="Calibri" w:hAnsi="Calibri"/>
        <w:b/>
        <w:b/>
        <w:bCs/>
        <w:sz w:val="24"/>
        <w:szCs w:val="24"/>
      </w:rPr>
    </w:pPr>
    <w:r>
      <w:rPr>
        <w:rFonts w:ascii="Calibri" w:hAnsi="Calibri"/>
        <w:b/>
        <w:bCs/>
        <w:sz w:val="24"/>
        <w:szCs w:val="24"/>
      </w:rPr>
      <w:t>ANEXO II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false"/>
        <w:iCs w:val="false"/>
        <w:rFonts w:ascii="Calibri" w:hAnsi="Calibri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60729"/>
    <w:pPr>
      <w:widowControl/>
      <w:bidi w:val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 w:val="true"/>
      <w:keepLines/>
      <w:spacing w:before="240" w:after="0"/>
      <w:outlineLvl w:val="0"/>
    </w:pPr>
    <w:rPr>
      <w:rFonts w:ascii="Cambria" w:hAnsi="Cambria" w:eastAsia="ＭＳ ゴシック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link w:val="Cabealho"/>
    <w:qFormat/>
    <w:rsid w:val="00831233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link w:val="Rodap"/>
    <w:qFormat/>
    <w:rsid w:val="00831233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b76ebb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Citao"/>
    <w:uiPriority w:val="29"/>
    <w:qFormat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link w:val="Ttulo1"/>
    <w:qFormat/>
    <w:rsid w:val="00c60729"/>
    <w:rPr>
      <w:rFonts w:ascii="Cambria" w:hAnsi="Cambria" w:eastAsia="ＭＳ ゴシック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c60729"/>
    <w:rPr>
      <w:rFonts w:ascii="Arial" w:hAnsi="Arial" w:eastAsia="ＭＳ ゴシック" w:cs="Arial" w:eastAsiaTheme="majorEastAsia"/>
      <w:b/>
      <w:bCs/>
      <w:color w:val="365F91" w:themeColor="accent1" w:themeShade="bf"/>
      <w:sz w:val="32"/>
      <w:szCs w:val="32"/>
    </w:rPr>
  </w:style>
  <w:style w:type="character" w:styleId="Annotationreference">
    <w:name w:val="annotation reference"/>
    <w:basedOn w:val="DefaultParagraphFont"/>
    <w:semiHidden/>
    <w:unhideWhenUsed/>
    <w:qFormat/>
    <w:rsid w:val="00d72fb0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semiHidden/>
    <w:qFormat/>
    <w:rsid w:val="00d72fb0"/>
    <w:rPr>
      <w:rFonts w:ascii="Arial" w:hAnsi="Arial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d72fb0"/>
    <w:rPr>
      <w:rFonts w:ascii="Arial" w:hAnsi="Arial" w:cs="Tahoma"/>
      <w:b/>
      <w:bCs/>
    </w:rPr>
  </w:style>
  <w:style w:type="character" w:styleId="TextodebaloChar" w:customStyle="1">
    <w:name w:val="Texto de balão Char"/>
    <w:basedOn w:val="DefaultParagraphFont"/>
    <w:link w:val="Textodebalo"/>
    <w:semiHidden/>
    <w:qFormat/>
    <w:rsid w:val="00d72fb0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2a3357"/>
    <w:rPr>
      <w:b/>
      <w:bCs/>
    </w:rPr>
  </w:style>
  <w:style w:type="character" w:styleId="Nfase">
    <w:name w:val="Ênfase"/>
    <w:basedOn w:val="DefaultParagraphFont"/>
    <w:uiPriority w:val="20"/>
    <w:qFormat/>
    <w:rsid w:val="003017f7"/>
    <w:rPr>
      <w:i/>
      <w:iCs/>
    </w:rPr>
  </w:style>
  <w:style w:type="character" w:styleId="ListLabel1">
    <w:name w:val="ListLabel 1"/>
    <w:qFormat/>
    <w:rPr>
      <w:i w:val="false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b/>
    </w:rPr>
  </w:style>
  <w:style w:type="character" w:styleId="ListLabel5">
    <w:name w:val="ListLabel 5"/>
    <w:qFormat/>
    <w:rPr>
      <w:b w:val="false"/>
    </w:rPr>
  </w:style>
  <w:style w:type="character" w:styleId="ListLabel6">
    <w:name w:val="ListLabel 6"/>
    <w:qFormat/>
    <w:rPr>
      <w:b w:val="false"/>
    </w:rPr>
  </w:style>
  <w:style w:type="character" w:styleId="ListLabel7">
    <w:name w:val="ListLabel 7"/>
    <w:qFormat/>
    <w:rPr>
      <w:rFonts w:eastAsia="Times New Roman" w:cs="Arial"/>
      <w:b w:val="false"/>
    </w:rPr>
  </w:style>
  <w:style w:type="character" w:styleId="ListLabel8">
    <w:name w:val="ListLabel 8"/>
    <w:qFormat/>
    <w:rPr>
      <w:i w:val="false"/>
    </w:rPr>
  </w:style>
  <w:style w:type="character" w:styleId="ListLabel9">
    <w:name w:val="ListLabel 9"/>
    <w:qFormat/>
    <w:rPr>
      <w:i w:val="false"/>
    </w:rPr>
  </w:style>
  <w:style w:type="character" w:styleId="ListLabel10">
    <w:name w:val="ListLabel 10"/>
    <w:qFormat/>
    <w:rPr>
      <w:rFonts w:ascii="Calibri" w:hAnsi="Calibri"/>
      <w:i w:val="false"/>
      <w:iCs w:val="false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GradeColorida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b76ebb"/>
    <w:pPr/>
    <w:rPr>
      <w:i/>
      <w:iCs/>
      <w:color w:val="000000" w:themeColor="text1"/>
    </w:rPr>
  </w:style>
  <w:style w:type="paragraph" w:styleId="ListParagraph">
    <w:name w:val="List Paragraph"/>
    <w:basedOn w:val="Normal"/>
    <w:uiPriority w:val="34"/>
    <w:qFormat/>
    <w:rsid w:val="00b76ebb"/>
    <w:pPr>
      <w:spacing w:before="0" w:after="0"/>
      <w:ind w:left="720" w:hanging="0"/>
      <w:contextualSpacing/>
    </w:pPr>
    <w:rPr/>
  </w:style>
  <w:style w:type="paragraph" w:styleId="Nivel1" w:customStyle="1">
    <w:name w:val="Nivel1"/>
    <w:basedOn w:val="Ttulo1"/>
    <w:next w:val="Normal"/>
    <w:link w:val="Nivel1Char"/>
    <w:qFormat/>
    <w:rsid w:val="00c60729"/>
    <w:pPr>
      <w:widowControl w:val="false"/>
      <w:spacing w:lineRule="auto" w:line="276" w:before="480" w:after="120"/>
      <w:jc w:val="both"/>
    </w:pPr>
    <w:rPr>
      <w:rFonts w:ascii="Arial" w:hAnsi="Arial" w:cs="Arial"/>
      <w:b/>
      <w:bCs/>
      <w:color w:val="auto"/>
      <w:sz w:val="20"/>
      <w:szCs w:val="20"/>
    </w:rPr>
  </w:style>
  <w:style w:type="paragraph" w:styleId="Annotationtext">
    <w:name w:val="annotation text"/>
    <w:basedOn w:val="Normal"/>
    <w:link w:val="TextodecomentrioChar"/>
    <w:semiHidden/>
    <w:unhideWhenUsed/>
    <w:qFormat/>
    <w:rsid w:val="00d72fb0"/>
    <w:pPr/>
    <w:rPr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d72fb0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d72fb0"/>
    <w:pPr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a3357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styleId="Ttulo11">
    <w:name w:val="Título1"/>
    <w:basedOn w:val="Normal"/>
    <w:next w:val="Corpodetexto"/>
    <w:qFormat/>
    <w:pPr>
      <w:jc w:val="center"/>
    </w:pPr>
    <w:rPr>
      <w:rFonts w:ascii="Times New Roman" w:hAnsi="Times New Roman" w:cs="Times New Roman"/>
      <w:szCs w:val="20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D1055-97D7-46F9-BA04-87682D846A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97626B-4393-45B8-A3F1-57035870E5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A442E5-9A0A-438E-A898-CEC9228EC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LibreOffice/6.0.7.3$Linux_X86_64 LibreOffice_project/00m0$Build-3</Application>
  <Pages>5</Pages>
  <Words>1276</Words>
  <Characters>7188</Characters>
  <CharactersWithSpaces>8361</CharactersWithSpaces>
  <Paragraphs>78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2018-12-20T21:37:00Z</dcterms:created>
  <dc:creator>Manoel Paz</dc:creator>
  <dc:description>Modelo idêntico ao de compras, salvo no que diz respeito à especificação do objeto e à respectiva nota explicativa.</dc:description>
  <dc:language>pt-BR</dc:language>
  <cp:lastModifiedBy/>
  <dcterms:modified xsi:type="dcterms:W3CDTF">2021-08-03T15:18:54Z</dcterms:modified>
  <cp:revision>10</cp:revision>
  <dc:subject/>
  <dc:title>MODELO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EDUARDO DOTTI</vt:lpwstr>
  </property>
  <property fmtid="{D5CDD505-2E9C-101B-9397-08002B2CF9AE}" pid="4" name="ComplianceAssetId">
    <vt:lpwstr/>
  </property>
  <property fmtid="{D5CDD505-2E9C-101B-9397-08002B2CF9AE}" pid="5" name="ContentTypeId">
    <vt:lpwstr>0x01010012A2765E7DFD38469B2E626874CD0041</vt:lpwstr>
  </property>
  <property fmtid="{D5CDD505-2E9C-101B-9397-08002B2CF9AE}" pid="6" name="DocSecurity">
    <vt:i4>0</vt:i4>
  </property>
  <property fmtid="{D5CDD505-2E9C-101B-9397-08002B2CF9AE}" pid="7" name="HyperlinksChanged">
    <vt:bool>0</vt:bool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xd_Signature">
    <vt:bool>0</vt:bool>
  </property>
</Properties>
</file>